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2265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2023年广东省青少年</w:t>
      </w:r>
      <w:bookmarkStart w:id="1" w:name="_Toc27251"/>
      <w:bookmarkStart w:id="2" w:name="_Toc15990"/>
      <w:bookmarkStart w:id="3" w:name="_Toc23201"/>
      <w:bookmarkStart w:id="4" w:name="_Toc1715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赛艇锦标赛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5" w:name="_Toc9750"/>
      <w:bookmarkStart w:id="6" w:name="_Toc21273"/>
      <w:bookmarkStart w:id="7" w:name="_Toc12172"/>
      <w:bookmarkStart w:id="8" w:name="_Toc28762"/>
      <w:bookmarkStart w:id="9" w:name="_Toc8057"/>
      <w:bookmarkStart w:id="10" w:name="_Toc25160"/>
      <w:bookmarkStart w:id="11" w:name="_Toc17359_WPSOffice_Level1"/>
      <w:bookmarkStart w:id="12" w:name="_Toc1670"/>
      <w:bookmarkStart w:id="13" w:name="_Toc30899"/>
      <w:bookmarkStart w:id="14" w:name="_Toc13440"/>
      <w:bookmarkStart w:id="15" w:name="_Toc25880_WPSOffice_Level1"/>
      <w:bookmarkStart w:id="16" w:name="_Toc7781"/>
      <w:bookmarkStart w:id="17" w:name="_Toc10294"/>
      <w:bookmarkStart w:id="18" w:name="_Toc2848"/>
      <w:bookmarkStart w:id="19" w:name="_Toc29173"/>
      <w:bookmarkStart w:id="20" w:name="_Toc1943"/>
      <w:bookmarkStart w:id="21" w:name="_Toc9460"/>
      <w:bookmarkStart w:id="22" w:name="_Toc26262"/>
      <w:bookmarkStart w:id="23" w:name="_Toc5550"/>
      <w:bookmarkStart w:id="24" w:name="_Toc13061"/>
      <w:bookmarkStart w:id="25" w:name="_Toc19290_WPSOffice_Level1"/>
      <w:bookmarkStart w:id="26" w:name="_Toc13956_WPSOffice_Level1"/>
      <w:bookmarkStart w:id="27" w:name="_Toc23812_WPSOffice_Level1"/>
      <w:bookmarkStart w:id="28" w:name="_Toc8193"/>
      <w:bookmarkStart w:id="29" w:name="_Toc1148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竞赛规程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0" w:name="_Toc1281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一、竞赛日期及地点</w:t>
      </w:r>
      <w:bookmarkEnd w:id="3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竞赛天数为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具体时间以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通知为准）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地点：肇庆市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bookmarkStart w:id="31" w:name="_Toc3363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二、参加单位</w:t>
      </w:r>
      <w:bookmarkEnd w:id="31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地级以上市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bookmarkStart w:id="32" w:name="_Toc28205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三、竞赛项目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（共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38项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）</w:t>
      </w:r>
      <w:bookmarkEnd w:id="3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（一）甲组（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男子：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公开级：2KM单人双桨、2KM双人单桨、2KM双人双桨、2KM四人双桨、2KM四人单桨、4KM单人双桨（团体3人）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轻量级：2KM单人双桨、2KM双人双桨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女子：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公开级：2KM单人双桨、2KM双人单桨、2KM双人双桨、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2KM四人双桨、2KM四人单桨、4KM单人双桨（团体3人）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轻量级：2KM单人双桨、2KM双人双桨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男女混合公开级：2KM四人双桨、2KM双人双桨。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（二）乙组（1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男子：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公开级：2KM单人双桨、2KM双人双桨、2KM四人双桨、4KM单人双桨（团体3人）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轻量级：2KM单人双桨、2KM双人双桨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女子：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公开级：2KM单人双桨、2KM双人双桨、2KM四人双桨、4KM单人双桨（团体3人）；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轻量级：2KM单人双桨、2KM双人双桨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男女混合公开级：2KM四人双桨、2KM双人双桨。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33" w:name="_Toc742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（三）丙组（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男子：2KM单人双桨、2KM双人双桨；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女子：2KM单人双桨、2KM双人双桨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男女混合：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2KM四人双桨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双人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双桨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四、参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赛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资格</w:t>
      </w:r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参赛运动员须在“广东省青少年体育信息管理系统”注册成功，凭身份证参赛，比赛现场进行资格验证。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参赛年龄：运动员以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年龄参赛。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甲组：200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15-16岁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乙组：200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13-14岁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丙组：20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年及以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后（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12岁及以下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省优秀运动队正式运动员（以招聘文件名单为准）凡符合参赛资格规定的，均可代表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所属各市参赛且不占原单位限定名额。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（四）全国注册按照《广东省体育局关于2023年广东省体育竞赛（省级）注册工作的通知》（粤社训中〔2023〕7号）执行。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参赛运动员须持有县级以上（含县级）医务部门检查身体健康证明；各参赛单位须在所在地为所有参赛运动员购买比赛期间（含报到、离会交通往返途中）的“人身意外伤害保险”，并向大会交验保险原始凭证及健康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如未能提供该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项（原件）凭证者，不予参赛。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</w:rPr>
        <w:t>参赛运动员须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能游泳200米以上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参赛单位</w:t>
      </w:r>
      <w:r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</w:rPr>
        <w:t>须配备救生衣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对参赛运动员的健康状况和水中自救能力负责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必要时运动员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穿救生衣参赛确保安全。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）凡报名后因特殊情况不能参赛的单位，须在赛前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20天以书面形式向广东省社会体育和训练竞赛中心报备。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4" w:name="_Toc24554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五、竞赛办法</w:t>
      </w:r>
      <w:bookmarkEnd w:id="3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（一）执行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中国赛艇协会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审定的最新《赛艇竞赛规则》及补充细则。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（二）若报名参赛单位不足3个或各竞赛项目中所设小项报名人数不足3人（队），则取消该项目或小项的比赛。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大会将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提前通知相关单位，允许运动员改项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4KM项目的比赛在2000米的航道中采用n型进行，采用间隔时间分别起航的办法。以时间评定名次，时间少者名次列前，最后排出全部名次。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4KM各项出发顺序按该组该项比赛的艇随机抽签排列顺序。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直道比赛为6条航道，不足6条艇参赛时，采用一次决赛。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由于天气等原因不能进行决赛时，按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国家体育总局审定的最新《赛艇竞赛规则》执行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比赛器材自备，厂家不限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各单位运动员服装必须统一，上衣印有中文单位名字。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KM团体赛总分计分方法：按参赛单位所获得3人名次的分数累计相加。不足3名运动员的参赛单位，只计算参赛人员所得分数。1名运动员不得报团体赛。项目的名次得分从第一名往后依次为100、98、97、96······1分。得分相等，以参赛单位中最好成绩的运动员获得比赛成绩得分多者名次列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35" w:name="_Toc6518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录取名次与计分办法</w:t>
      </w:r>
      <w:bookmarkEnd w:id="35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（一）各小项（含团体）均录取前八名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参赛人员不足8人/队（含8人/队）均如数录取。</w:t>
      </w:r>
    </w:p>
    <w:p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获得小项前八名分别按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13、11、10、9、8、7、6、5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计分，不足录取名额的项目，按各项目相应名次的分值进行统计。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如比赛名次并列时，将名次并列的下一个或几个名次空出，空出名次的分值与获得名次的分值相加后的平均数，作为并列名次所得分值。如果第八名并列，则各按5分进行统计。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（三）各单位以各组各项得分之和计算团体总分，录取前八名。总分多者名次列前，总分相等以参赛单位中获得最好的比赛名次得分优先者名次列前。若报名单位在8个或以下，按实际参赛单位数录取。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36" w:name="_Toc21660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七、体育道德风尚奖</w:t>
      </w:r>
      <w:bookmarkEnd w:id="3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（一）设“运动队体育道德风尚奖”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参赛队有5队（含5队）以下评选2队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10队（含10队）以下评选3队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15队（含15队）以下评选4队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16队以上评选5队。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（二）设“运动员体育道德风尚奖”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报名人数1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：1比例评选。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教练员体育道德风尚奖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参赛单位数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比例进行评选。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裁判员体育道德风尚奖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”：按裁判员参加人数10：1比例评选。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37" w:name="_Toc2450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八、运动员技术等级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办理</w:t>
      </w:r>
      <w:bookmarkEnd w:id="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照《运动员技术等级管理办法》（国家体育总局第18号令）、《运动员技术等级标准》（体竞字〔2021〕131号）和《体育总局关于设立和调整部分项目〈运动员技术等级标准〉的通知》（体竞字〔2022〕192号）等相关规定执行，以体育总局公布的最新标准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bookmarkStart w:id="38" w:name="_Toc27897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报名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、报项及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报到</w:t>
      </w:r>
      <w:bookmarkEnd w:id="38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（一）报名：各参赛单位按竞赛规程要求在“省青少年体育信息管理系统”进行报名（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软件下载地址：www.gdxjzx.org）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报名时间及要求以大会正式下发的补充通知为准。报名后在系统导出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报名表加盖单位公章并进行扫描，于赛前30天发电子邮件至gdsxzxqsb@163.com，联系人：董钊，电话：020-83815010。逾期报名，以不参加论。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各单位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报32个小项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运动员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报2项（不含团体）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运动员不得同时跨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组别进行报项；各参赛单位可以在报满某一年龄组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如乙组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、某项目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如男子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全部小项的前提下，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该年龄段的富余人员报名参加高一年龄组别的小项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.各单位各单项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报2条艇（不含团体），各团体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报1队。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各单位可报领队1名，教练员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按运动员总数的5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1配备。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裁判员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运动队于赛前2天到赛区报到。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39" w:name="_Toc19699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仲裁委员及裁判员</w:t>
      </w:r>
      <w:bookmarkEnd w:id="39"/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仲裁委员及裁判员由大会统一选派，不足人员由承办单位补充。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bookmarkStart w:id="40" w:name="_Toc7013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、经费</w:t>
      </w:r>
      <w:bookmarkEnd w:id="4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各参赛队伍交通费自理，食宿收费标准另行通知。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、为端正赛风，严肃赛场纪律，保证公平竞赛，各单位和全体裁判员，必须严格遵守国家体育总局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、广东省体育局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和赛区制定的各项规定，认真比赛，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公正执裁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，如有违反，将根据情节按有关文件严肃处理。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、未尽事宜，另行通知。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可查阅“广东省社会体育和训练竞赛中心”网站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"http://www.gdxjzx.org)中\“竞赛补充通知\”专栏" </w:instrTex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www.gdxjzx.org）中“竞赛补充通知”专栏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41" w:name="_Toc5090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十四、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本规程的解释权属主办单位。</w:t>
      </w:r>
      <w:bookmarkEnd w:id="41"/>
    </w:p>
    <w:p>
      <w:bookmarkStart w:id="42" w:name="_GoBack"/>
      <w:bookmarkEnd w:id="4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3194"/>
    <w:rsid w:val="5473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2023-11-07T01:42:00Z</dcterms:created>
  <dc:creator>大钊儿</dc:creator>
  <cp:lastModifiedBy>大钊儿</cp:lastModifiedBy>
  <dcterms:modified xsi:type="dcterms:W3CDTF">2023-11-07T01:42:58Z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